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5E4CC4" w:rsidP="001C79B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9</w:t>
      </w:r>
      <w:r w:rsidR="001C79B0">
        <w:rPr>
          <w:rFonts w:ascii="Source Sans Pro" w:hAnsi="Source Sans Pro"/>
        </w:rPr>
        <w:t xml:space="preserve"> May</w:t>
      </w:r>
      <w:r w:rsidR="001C79B0" w:rsidRPr="00742048">
        <w:rPr>
          <w:rFonts w:ascii="Source Sans Pro" w:hAnsi="Source Sans Pro"/>
        </w:rPr>
        <w:t xml:space="preserve"> 2017</w:t>
      </w:r>
    </w:p>
    <w:p w:rsidR="001C79B0" w:rsidRPr="0096692B" w:rsidRDefault="00F817D2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Year 1 Assessments 14</w:t>
      </w:r>
      <w:r w:rsidR="001C79B0">
        <w:rPr>
          <w:rFonts w:ascii="Source Sans Pro" w:hAnsi="Source Sans Pro"/>
          <w:b/>
          <w:sz w:val="28"/>
        </w:rPr>
        <w:t>.05.17 – 25.05</w:t>
      </w:r>
      <w:r w:rsidR="001C79B0"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</w:t>
      </w:r>
      <w:r w:rsidR="00AD689D">
        <w:rPr>
          <w:rFonts w:ascii="Source Sans Pro" w:hAnsi="Source Sans Pro"/>
        </w:rPr>
        <w:t xml:space="preserve">be assessed in the following areas during the Year 1 Assessment period. 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800"/>
        <w:gridCol w:w="4680"/>
        <w:gridCol w:w="4950"/>
      </w:tblGrid>
      <w:tr w:rsidR="001C79B0" w:rsidTr="004851A4">
        <w:trPr>
          <w:trHeight w:val="395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468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495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1C79B0" w:rsidTr="004851A4">
        <w:trPr>
          <w:trHeight w:val="1086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4680" w:type="dxa"/>
          </w:tcPr>
          <w:p w:rsidR="001C79B0" w:rsidRDefault="00F817D2" w:rsidP="00872B4E">
            <w:pPr>
              <w:rPr>
                <w:rFonts w:ascii="Source Sans Pro" w:hAnsi="Source Sans Pro"/>
              </w:rPr>
            </w:pPr>
            <w:r w:rsidRPr="00EC1D5F">
              <w:rPr>
                <w:rFonts w:ascii="Source Sans Pro" w:hAnsi="Source Sans Pro"/>
                <w:u w:val="single"/>
              </w:rPr>
              <w:t>PM Benchmarking</w:t>
            </w:r>
            <w:r w:rsidRPr="00EC1D5F">
              <w:rPr>
                <w:rFonts w:ascii="Source Sans Pro" w:hAnsi="Source Sans Pro"/>
              </w:rPr>
              <w:t xml:space="preserve">: </w:t>
            </w:r>
            <w:r>
              <w:rPr>
                <w:rFonts w:ascii="Source Sans Pro" w:hAnsi="Source Sans Pro"/>
              </w:rPr>
              <w:t>Ongoing</w:t>
            </w:r>
            <w:r w:rsidR="00EC1D5F">
              <w:rPr>
                <w:rFonts w:ascii="Source Sans Pro" w:hAnsi="Source Sans Pro"/>
              </w:rPr>
              <w:t xml:space="preserve"> 1:1 assessments</w:t>
            </w:r>
            <w:r>
              <w:rPr>
                <w:rFonts w:ascii="Source Sans Pro" w:hAnsi="Source Sans Pro"/>
              </w:rPr>
              <w:t xml:space="preserve"> throughout the second week</w:t>
            </w:r>
          </w:p>
          <w:p w:rsidR="00F817D2" w:rsidRPr="008A6C85" w:rsidRDefault="00F817D2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(21.5.17-25.5.17).</w:t>
            </w:r>
          </w:p>
        </w:tc>
        <w:tc>
          <w:tcPr>
            <w:tcW w:w="4950" w:type="dxa"/>
          </w:tcPr>
          <w:p w:rsidR="00AD689D" w:rsidRDefault="00AD689D" w:rsidP="00AD689D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Applying phonic skills to sound and blend words to read.</w:t>
            </w:r>
          </w:p>
          <w:p w:rsidR="001C79B0" w:rsidRPr="00AD689D" w:rsidRDefault="00AD689D" w:rsidP="005E20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AD689D">
              <w:rPr>
                <w:rFonts w:ascii="Source Sans Pro" w:hAnsi="Source Sans Pro"/>
              </w:rPr>
              <w:t xml:space="preserve">Comprehension </w:t>
            </w:r>
            <w:r w:rsidR="005E205A">
              <w:rPr>
                <w:rFonts w:ascii="Source Sans Pro" w:hAnsi="Source Sans Pro"/>
              </w:rPr>
              <w:t xml:space="preserve">questions to assess for understanding. </w:t>
            </w:r>
          </w:p>
        </w:tc>
      </w:tr>
      <w:tr w:rsidR="001C79B0" w:rsidTr="004851A4">
        <w:trPr>
          <w:trHeight w:val="1032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4680" w:type="dxa"/>
          </w:tcPr>
          <w:p w:rsidR="00EC1D5F" w:rsidRDefault="00F817D2" w:rsidP="00F817D2">
            <w:pPr>
              <w:rPr>
                <w:rFonts w:ascii="Source Sans Pro" w:hAnsi="Source Sans Pro"/>
              </w:rPr>
            </w:pPr>
            <w:r w:rsidRPr="00EC1D5F">
              <w:rPr>
                <w:rFonts w:ascii="Source Sans Pro" w:hAnsi="Source Sans Pro"/>
                <w:u w:val="single"/>
              </w:rPr>
              <w:t>Big Write</w:t>
            </w:r>
            <w:r>
              <w:rPr>
                <w:rFonts w:ascii="Source Sans Pro" w:hAnsi="Source Sans Pro"/>
              </w:rPr>
              <w:t>:</w:t>
            </w:r>
            <w:r w:rsidR="00EC1D5F">
              <w:rPr>
                <w:rFonts w:ascii="Source Sans Pro" w:hAnsi="Source Sans Pro"/>
              </w:rPr>
              <w:t xml:space="preserve"> </w:t>
            </w:r>
          </w:p>
          <w:p w:rsidR="001C79B0" w:rsidRPr="008A6C85" w:rsidRDefault="00EC1D5F" w:rsidP="00F817D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Independent writing Assessment</w:t>
            </w:r>
            <w:r w:rsidR="00F817D2">
              <w:rPr>
                <w:rFonts w:ascii="Source Sans Pro" w:hAnsi="Source Sans Pro"/>
              </w:rPr>
              <w:t xml:space="preserve"> 18.5.17</w:t>
            </w:r>
          </w:p>
        </w:tc>
        <w:tc>
          <w:tcPr>
            <w:tcW w:w="4950" w:type="dxa"/>
          </w:tcPr>
          <w:p w:rsid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Application of phonic knowledge to write words and sentences. </w:t>
            </w:r>
          </w:p>
          <w:p w:rsid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Correct use of capital letters and full stops. </w:t>
            </w:r>
          </w:p>
          <w:p w:rsid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Use of adjectives (describing words).</w:t>
            </w:r>
          </w:p>
          <w:p w:rsidR="001C79B0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AD689D">
              <w:rPr>
                <w:rFonts w:ascii="Source Sans Pro" w:hAnsi="Source Sans Pro"/>
              </w:rPr>
              <w:t>Use of connectives (and, because).</w:t>
            </w:r>
          </w:p>
          <w:p w:rsidR="00AD689D" w:rsidRP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Use of exclamation marks.</w:t>
            </w:r>
          </w:p>
        </w:tc>
      </w:tr>
      <w:tr w:rsidR="001C79B0" w:rsidTr="004851A4">
        <w:trPr>
          <w:trHeight w:val="1086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Numeracy</w:t>
            </w:r>
          </w:p>
        </w:tc>
        <w:tc>
          <w:tcPr>
            <w:tcW w:w="4680" w:type="dxa"/>
          </w:tcPr>
          <w:p w:rsidR="001C79B0" w:rsidRDefault="00EC1D5F" w:rsidP="00872B4E">
            <w:pPr>
              <w:rPr>
                <w:rFonts w:ascii="Source Sans Pro" w:hAnsi="Source Sans Pro"/>
                <w:u w:val="single"/>
              </w:rPr>
            </w:pPr>
            <w:r w:rsidRPr="00EC1D5F">
              <w:rPr>
                <w:rFonts w:ascii="Source Sans Pro" w:hAnsi="Source Sans Pro"/>
                <w:u w:val="single"/>
              </w:rPr>
              <w:t>Numeracy Assessment</w:t>
            </w:r>
            <w:r>
              <w:rPr>
                <w:rFonts w:ascii="Source Sans Pro" w:hAnsi="Source Sans Pro"/>
                <w:u w:val="single"/>
              </w:rPr>
              <w:t>:</w:t>
            </w:r>
          </w:p>
          <w:p w:rsidR="00EC1D5F" w:rsidRPr="00EC1D5F" w:rsidRDefault="00EC1D5F" w:rsidP="00EC1D5F">
            <w:pPr>
              <w:rPr>
                <w:rFonts w:ascii="Source Sans Pro" w:hAnsi="Source Sans Pro"/>
                <w:u w:val="single"/>
              </w:rPr>
            </w:pPr>
            <w:r>
              <w:rPr>
                <w:rFonts w:ascii="Source Sans Pro" w:hAnsi="Source Sans Pro"/>
              </w:rPr>
              <w:t>Ongoing assessments throughout the first week (14.5.17-18.5.17).</w:t>
            </w:r>
          </w:p>
        </w:tc>
        <w:tc>
          <w:tcPr>
            <w:tcW w:w="4950" w:type="dxa"/>
          </w:tcPr>
          <w:p w:rsidR="00EC1D5F" w:rsidRPr="00EC1D5F" w:rsidRDefault="00EC1D5F" w:rsidP="00EC1D5F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Number: addition and subtraction, identifying odd and even numbers, doubling, knowledge of more than and less than, halving and quartering. </w:t>
            </w:r>
          </w:p>
          <w:p w:rsidR="00EC1D5F" w:rsidRDefault="00EC1D5F" w:rsidP="00EC1D5F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Shape: Naming 2Dand 3D shapes.</w:t>
            </w:r>
          </w:p>
          <w:p w:rsidR="00EC1D5F" w:rsidRPr="00EC1D5F" w:rsidRDefault="00EC1D5F" w:rsidP="00EC1D5F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Problem Solving </w:t>
            </w:r>
          </w:p>
        </w:tc>
      </w:tr>
      <w:tr w:rsidR="001C79B0" w:rsidTr="004851A4">
        <w:trPr>
          <w:trHeight w:val="1086"/>
        </w:trPr>
        <w:tc>
          <w:tcPr>
            <w:tcW w:w="1800" w:type="dxa"/>
          </w:tcPr>
          <w:p w:rsidR="001C79B0" w:rsidRPr="00514A24" w:rsidRDefault="004851A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Phonics</w:t>
            </w:r>
          </w:p>
        </w:tc>
        <w:tc>
          <w:tcPr>
            <w:tcW w:w="4680" w:type="dxa"/>
          </w:tcPr>
          <w:p w:rsidR="001C79B0" w:rsidRPr="004851A4" w:rsidRDefault="004851A4" w:rsidP="00872B4E">
            <w:pPr>
              <w:rPr>
                <w:rFonts w:ascii="Source Sans Pro" w:hAnsi="Source Sans Pro"/>
                <w:u w:val="single"/>
              </w:rPr>
            </w:pPr>
            <w:r w:rsidRPr="004851A4">
              <w:rPr>
                <w:rFonts w:ascii="Source Sans Pro" w:hAnsi="Source Sans Pro"/>
                <w:u w:val="single"/>
              </w:rPr>
              <w:t>Phonics Assessment:</w:t>
            </w:r>
          </w:p>
          <w:p w:rsidR="004851A4" w:rsidRDefault="004851A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Ongoing assessments throughout the first week (14.5.17-18.5.17).</w:t>
            </w:r>
          </w:p>
          <w:p w:rsidR="005E205A" w:rsidRPr="005E205A" w:rsidRDefault="004851A4" w:rsidP="00872B4E">
            <w:pPr>
              <w:rPr>
                <w:rFonts w:ascii="Source Sans Pro" w:hAnsi="Source Sans Pro"/>
                <w:b/>
                <w:u w:val="single"/>
              </w:rPr>
            </w:pPr>
            <w:r w:rsidRPr="005E205A">
              <w:rPr>
                <w:rFonts w:ascii="Source Sans Pro" w:hAnsi="Source Sans Pro"/>
                <w:b/>
                <w:u w:val="single"/>
              </w:rPr>
              <w:t>Year 1 P</w:t>
            </w:r>
            <w:r w:rsidR="005E205A">
              <w:rPr>
                <w:rFonts w:ascii="Source Sans Pro" w:hAnsi="Source Sans Pro"/>
                <w:b/>
                <w:u w:val="single"/>
              </w:rPr>
              <w:t>honics Screening Check 21.5.17</w:t>
            </w:r>
          </w:p>
          <w:p w:rsidR="004851A4" w:rsidRPr="008A6C85" w:rsidRDefault="004851A4" w:rsidP="00872B4E">
            <w:pPr>
              <w:rPr>
                <w:rFonts w:ascii="Source Sans Pro" w:hAnsi="Source Sans Pro"/>
              </w:rPr>
            </w:pPr>
          </w:p>
        </w:tc>
        <w:tc>
          <w:tcPr>
            <w:tcW w:w="4950" w:type="dxa"/>
          </w:tcPr>
          <w:p w:rsidR="00EF6D7D" w:rsidRDefault="004851A4" w:rsidP="004851A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Use of Phonic knowledge</w:t>
            </w:r>
            <w:r w:rsidR="00EF6D7D">
              <w:rPr>
                <w:rFonts w:ascii="Source Sans Pro" w:hAnsi="Source Sans Pro"/>
              </w:rPr>
              <w:t xml:space="preserve"> to recognise and apply sounds to read words. </w:t>
            </w:r>
          </w:p>
          <w:p w:rsidR="004851A4" w:rsidRDefault="004851A4" w:rsidP="004851A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  <w:r w:rsidR="00EF6D7D">
              <w:rPr>
                <w:rFonts w:ascii="Source Sans Pro" w:hAnsi="Source Sans Pro"/>
              </w:rPr>
              <w:t xml:space="preserve">Use of phonic knowledge to sound and blend real and nonsense words. </w:t>
            </w:r>
          </w:p>
          <w:p w:rsidR="001C79B0" w:rsidRPr="008A6C85" w:rsidRDefault="001C79B0" w:rsidP="004851A4">
            <w:pPr>
              <w:pStyle w:val="ListParagraph"/>
              <w:rPr>
                <w:rFonts w:ascii="Source Sans Pro" w:hAnsi="Source Sans Pro"/>
              </w:rPr>
            </w:pP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1C79B0" w:rsidRDefault="004851A4" w:rsidP="005A481D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1C79B0" w:rsidRPr="008A6C85">
        <w:rPr>
          <w:rFonts w:ascii="Source Sans Pro" w:hAnsi="Source Sans Pro"/>
        </w:rPr>
        <w:t>lease support your child as much as possible i</w:t>
      </w:r>
      <w:r w:rsidR="00E1557D">
        <w:rPr>
          <w:rFonts w:ascii="Source Sans Pro" w:hAnsi="Source Sans Pro"/>
        </w:rPr>
        <w:t>n the run-</w:t>
      </w:r>
      <w:r w:rsidR="001C79B0"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 w:rsidR="001C79B0"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  <w:bookmarkStart w:id="0" w:name="_GoBack"/>
      <w:bookmarkEnd w:id="0"/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3B4F20" w:rsidRDefault="00514A24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Year 1 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7B" w:rsidRDefault="00BE277B" w:rsidP="00C85509">
      <w:r>
        <w:separator/>
      </w:r>
    </w:p>
  </w:endnote>
  <w:endnote w:type="continuationSeparator" w:id="0">
    <w:p w:rsidR="00BE277B" w:rsidRDefault="00BE277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40919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43125" cy="82867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919" w:rsidRPr="00C84FA9" w:rsidRDefault="00040919" w:rsidP="00040919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 International School Al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40919" w:rsidRPr="00C84FA9" w:rsidRDefault="00040919" w:rsidP="00040919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040919" w:rsidRDefault="00040919" w:rsidP="00040919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68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od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" filled="f" stroked="f">
              <v:textbox>
                <w:txbxContent>
                  <w:p w:rsidR="00040919" w:rsidRPr="00C84FA9" w:rsidRDefault="00040919" w:rsidP="00040919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 International School Al </w:t>
                    </w:r>
                    <w:proofErr w:type="spellStart"/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</w:p>
                  <w:p w:rsidR="00040919" w:rsidRPr="00C84FA9" w:rsidRDefault="00040919" w:rsidP="00040919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040919" w:rsidRDefault="00040919" w:rsidP="00040919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40919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40919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7B" w:rsidRDefault="00BE277B" w:rsidP="00C85509">
      <w:r>
        <w:separator/>
      </w:r>
    </w:p>
  </w:footnote>
  <w:footnote w:type="continuationSeparator" w:id="0">
    <w:p w:rsidR="00BE277B" w:rsidRDefault="00BE277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099F"/>
    <w:multiLevelType w:val="hybridMultilevel"/>
    <w:tmpl w:val="010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628"/>
    <w:multiLevelType w:val="hybridMultilevel"/>
    <w:tmpl w:val="9308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EE8"/>
    <w:multiLevelType w:val="hybridMultilevel"/>
    <w:tmpl w:val="B518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D0FD7"/>
    <w:multiLevelType w:val="hybridMultilevel"/>
    <w:tmpl w:val="B40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40919"/>
    <w:rsid w:val="00075A69"/>
    <w:rsid w:val="00095774"/>
    <w:rsid w:val="00184512"/>
    <w:rsid w:val="001C79B0"/>
    <w:rsid w:val="00214B57"/>
    <w:rsid w:val="002838A8"/>
    <w:rsid w:val="00292719"/>
    <w:rsid w:val="002B55B3"/>
    <w:rsid w:val="002C54EB"/>
    <w:rsid w:val="002F187E"/>
    <w:rsid w:val="003039B3"/>
    <w:rsid w:val="003B4F20"/>
    <w:rsid w:val="00482C3B"/>
    <w:rsid w:val="004851A4"/>
    <w:rsid w:val="00490429"/>
    <w:rsid w:val="00514A24"/>
    <w:rsid w:val="0055439A"/>
    <w:rsid w:val="0055556E"/>
    <w:rsid w:val="005A481D"/>
    <w:rsid w:val="005C72F8"/>
    <w:rsid w:val="005E205A"/>
    <w:rsid w:val="005E4CC4"/>
    <w:rsid w:val="0065011A"/>
    <w:rsid w:val="006836FE"/>
    <w:rsid w:val="00723DC7"/>
    <w:rsid w:val="00752A8A"/>
    <w:rsid w:val="007A321D"/>
    <w:rsid w:val="007E5B3E"/>
    <w:rsid w:val="008827C1"/>
    <w:rsid w:val="008F08CE"/>
    <w:rsid w:val="00974022"/>
    <w:rsid w:val="009A7F53"/>
    <w:rsid w:val="00A04BAA"/>
    <w:rsid w:val="00A94A73"/>
    <w:rsid w:val="00AC6A95"/>
    <w:rsid w:val="00AD689D"/>
    <w:rsid w:val="00BE277B"/>
    <w:rsid w:val="00C34C50"/>
    <w:rsid w:val="00C84FA9"/>
    <w:rsid w:val="00C85509"/>
    <w:rsid w:val="00CE6F81"/>
    <w:rsid w:val="00D56B93"/>
    <w:rsid w:val="00DA7568"/>
    <w:rsid w:val="00DC5D80"/>
    <w:rsid w:val="00E04D14"/>
    <w:rsid w:val="00E1557D"/>
    <w:rsid w:val="00E503DE"/>
    <w:rsid w:val="00E84AE6"/>
    <w:rsid w:val="00E86846"/>
    <w:rsid w:val="00EA457B"/>
    <w:rsid w:val="00EC1D5F"/>
    <w:rsid w:val="00EF3CA6"/>
    <w:rsid w:val="00EF6D7D"/>
    <w:rsid w:val="00F21324"/>
    <w:rsid w:val="00F55F65"/>
    <w:rsid w:val="00F817D2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C77F-24E1-49FF-B93F-CB1496AA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2017-05-10T11:14:00Z</dcterms:created>
  <dcterms:modified xsi:type="dcterms:W3CDTF">2017-05-10T11:14:00Z</dcterms:modified>
</cp:coreProperties>
</file>