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Default="001C79B0" w:rsidP="001C79B0">
      <w:pPr>
        <w:jc w:val="right"/>
        <w:rPr>
          <w:rFonts w:ascii="Source Sans Pro" w:hAnsi="Source Sans Pro"/>
        </w:rPr>
      </w:pPr>
      <w:r w:rsidRPr="00742048">
        <w:rPr>
          <w:rFonts w:ascii="Source Sans Pro" w:hAnsi="Source Sans Pro"/>
        </w:rPr>
        <w:t>1</w:t>
      </w:r>
      <w:r>
        <w:rPr>
          <w:rFonts w:ascii="Source Sans Pro" w:hAnsi="Source Sans Pro"/>
        </w:rPr>
        <w:t>1 May</w:t>
      </w:r>
      <w:r w:rsidRPr="00742048">
        <w:rPr>
          <w:rFonts w:ascii="Source Sans Pro" w:hAnsi="Source Sans Pro"/>
        </w:rPr>
        <w:t xml:space="preserve"> 2017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1C79B0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Primary Assessment Week 21.05.17 – 25.05</w:t>
      </w:r>
      <w:r w:rsidRPr="0096692B">
        <w:rPr>
          <w:rFonts w:ascii="Source Sans Pro" w:hAnsi="Source Sans Pro"/>
          <w:b/>
          <w:sz w:val="28"/>
        </w:rPr>
        <w:t>.17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Your child will sit the following </w:t>
      </w:r>
      <w:r w:rsidR="00A04BAA">
        <w:rPr>
          <w:rFonts w:ascii="Source Sans Pro" w:hAnsi="Source Sans Pro"/>
        </w:rPr>
        <w:t xml:space="preserve">end-of-year </w:t>
      </w:r>
      <w:r>
        <w:rPr>
          <w:rFonts w:ascii="Source Sans Pro" w:hAnsi="Source Sans Pro"/>
        </w:rPr>
        <w:t>assessments during Primary assessment week:</w:t>
      </w:r>
    </w:p>
    <w:p w:rsidR="001C79B0" w:rsidRDefault="001C79B0" w:rsidP="001C79B0">
      <w:pPr>
        <w:rPr>
          <w:rFonts w:ascii="Source Sans Pro" w:hAnsi="Source Sans Pro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5"/>
        <w:gridCol w:w="1530"/>
        <w:gridCol w:w="6480"/>
      </w:tblGrid>
      <w:tr w:rsidR="001C79B0" w:rsidTr="005F5EDD">
        <w:trPr>
          <w:trHeight w:val="395"/>
        </w:trPr>
        <w:tc>
          <w:tcPr>
            <w:tcW w:w="1615" w:type="dxa"/>
          </w:tcPr>
          <w:p w:rsidR="001C79B0" w:rsidRPr="00606EB2" w:rsidRDefault="001C79B0" w:rsidP="00606EB2">
            <w:pPr>
              <w:jc w:val="center"/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Subject</w:t>
            </w:r>
          </w:p>
        </w:tc>
        <w:tc>
          <w:tcPr>
            <w:tcW w:w="1530" w:type="dxa"/>
          </w:tcPr>
          <w:p w:rsidR="001C79B0" w:rsidRPr="00606EB2" w:rsidRDefault="001C79B0" w:rsidP="00606EB2">
            <w:pPr>
              <w:jc w:val="center"/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Date</w:t>
            </w:r>
          </w:p>
        </w:tc>
        <w:tc>
          <w:tcPr>
            <w:tcW w:w="6480" w:type="dxa"/>
          </w:tcPr>
          <w:p w:rsidR="001C79B0" w:rsidRPr="00606EB2" w:rsidRDefault="001C79B0" w:rsidP="00606EB2">
            <w:pPr>
              <w:jc w:val="center"/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Content</w:t>
            </w:r>
          </w:p>
        </w:tc>
      </w:tr>
      <w:tr w:rsidR="001C79B0" w:rsidTr="005F5EDD">
        <w:trPr>
          <w:trHeight w:val="1086"/>
        </w:trPr>
        <w:tc>
          <w:tcPr>
            <w:tcW w:w="1615" w:type="dxa"/>
          </w:tcPr>
          <w:p w:rsidR="001C79B0" w:rsidRPr="00606EB2" w:rsidRDefault="001C79B0" w:rsidP="00606EB2">
            <w:pPr>
              <w:jc w:val="center"/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Reading</w:t>
            </w:r>
          </w:p>
        </w:tc>
        <w:tc>
          <w:tcPr>
            <w:tcW w:w="1530" w:type="dxa"/>
          </w:tcPr>
          <w:p w:rsidR="001C79B0" w:rsidRPr="00606EB2" w:rsidRDefault="007C1344" w:rsidP="00606EB2">
            <w:pPr>
              <w:jc w:val="center"/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Sunday</w:t>
            </w:r>
            <w:r w:rsidR="00137CCD">
              <w:rPr>
                <w:rFonts w:ascii="Source Sans Pro" w:hAnsi="Source Sans Pro"/>
                <w:sz w:val="20"/>
              </w:rPr>
              <w:t xml:space="preserve"> 21 May</w:t>
            </w:r>
          </w:p>
        </w:tc>
        <w:tc>
          <w:tcPr>
            <w:tcW w:w="6480" w:type="dxa"/>
          </w:tcPr>
          <w:p w:rsidR="007C1344" w:rsidRPr="00606EB2" w:rsidRDefault="007C1344" w:rsidP="00606EB2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Explore the meaning of different words in context.</w:t>
            </w:r>
          </w:p>
          <w:p w:rsidR="007C1344" w:rsidRPr="00606EB2" w:rsidRDefault="007C1344" w:rsidP="00606EB2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Identify ideas drawn from more than one paragraph, summarising these, and identifying key details that support the main idea.</w:t>
            </w:r>
          </w:p>
          <w:p w:rsidR="007C1344" w:rsidRPr="00606EB2" w:rsidRDefault="007C1344" w:rsidP="00606EB2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Understand and identify how language, structure and presentation contribute to meaning.</w:t>
            </w:r>
          </w:p>
          <w:p w:rsidR="007C1344" w:rsidRPr="00606EB2" w:rsidRDefault="007C1344" w:rsidP="00606EB2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Infer character’s feelings, thoughts and motives from their actions in increasingly challenging texts.</w:t>
            </w:r>
          </w:p>
          <w:p w:rsidR="007C1344" w:rsidRPr="00606EB2" w:rsidRDefault="007C1344" w:rsidP="00606EB2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Predict what might happen from details stated and implied in more challenging texts.</w:t>
            </w:r>
          </w:p>
          <w:p w:rsidR="001C79B0" w:rsidRPr="00376DB7" w:rsidRDefault="007C1344" w:rsidP="00606EB2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Retrieve and record information from increasingly challenging and varied types of non-fiction texts.</w:t>
            </w:r>
          </w:p>
        </w:tc>
      </w:tr>
      <w:tr w:rsidR="00137CCD" w:rsidTr="005F5EDD">
        <w:trPr>
          <w:trHeight w:val="1086"/>
        </w:trPr>
        <w:tc>
          <w:tcPr>
            <w:tcW w:w="1615" w:type="dxa"/>
          </w:tcPr>
          <w:p w:rsidR="00137CCD" w:rsidRPr="00606EB2" w:rsidRDefault="00137CCD" w:rsidP="00137CCD">
            <w:pPr>
              <w:jc w:val="center"/>
              <w:rPr>
                <w:rFonts w:ascii="Source Sans Pro" w:hAnsi="Source Sans Pro"/>
                <w:sz w:val="20"/>
              </w:rPr>
            </w:pPr>
            <w:r w:rsidRPr="00CF64FF">
              <w:rPr>
                <w:rFonts w:ascii="Source Sans Pro" w:hAnsi="Source Sans Pro"/>
                <w:sz w:val="20"/>
              </w:rPr>
              <w:t>Science</w:t>
            </w:r>
          </w:p>
        </w:tc>
        <w:tc>
          <w:tcPr>
            <w:tcW w:w="1530" w:type="dxa"/>
          </w:tcPr>
          <w:p w:rsidR="00137CCD" w:rsidRPr="00606EB2" w:rsidRDefault="00137CCD" w:rsidP="00137CCD">
            <w:pPr>
              <w:jc w:val="center"/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Sunday</w:t>
            </w:r>
            <w:r>
              <w:rPr>
                <w:rFonts w:ascii="Source Sans Pro" w:hAnsi="Source Sans Pro"/>
                <w:sz w:val="20"/>
              </w:rPr>
              <w:t xml:space="preserve"> 21 May</w:t>
            </w:r>
          </w:p>
        </w:tc>
        <w:tc>
          <w:tcPr>
            <w:tcW w:w="6480" w:type="dxa"/>
          </w:tcPr>
          <w:p w:rsidR="00137CCD" w:rsidRPr="00606EB2" w:rsidRDefault="00137CCD" w:rsidP="00137CCD">
            <w:pPr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Explore how humans have positive and negative effects on the environment.</w:t>
            </w:r>
          </w:p>
          <w:p w:rsidR="00137CCD" w:rsidRPr="00606EB2" w:rsidRDefault="00137CCD" w:rsidP="00137CCD">
            <w:pPr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Explore a number of ways of caring for the environment.</w:t>
            </w:r>
          </w:p>
          <w:p w:rsidR="00137CCD" w:rsidRPr="00376DB7" w:rsidRDefault="00137CCD" w:rsidP="00137CCD">
            <w:pPr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 xml:space="preserve">Making </w:t>
            </w:r>
            <w:r w:rsidRPr="00376DB7">
              <w:rPr>
                <w:rFonts w:ascii="Source Sans Pro" w:hAnsi="Source Sans Pro"/>
                <w:sz w:val="20"/>
              </w:rPr>
              <w:t>predictions using scientific knowledge and understanding.</w:t>
            </w:r>
          </w:p>
          <w:p w:rsidR="00137CCD" w:rsidRPr="00376DB7" w:rsidRDefault="00137CCD" w:rsidP="00137CCD">
            <w:pPr>
              <w:rPr>
                <w:rFonts w:ascii="Source Sans Pro" w:hAnsi="Source Sans Pro"/>
                <w:sz w:val="20"/>
              </w:rPr>
            </w:pPr>
            <w:r w:rsidRPr="00376DB7">
              <w:rPr>
                <w:rFonts w:ascii="Source Sans Pro" w:hAnsi="Source Sans Pro"/>
                <w:sz w:val="20"/>
              </w:rPr>
              <w:t>Understanding the notion of energy movement.</w:t>
            </w:r>
          </w:p>
          <w:p w:rsidR="00137CCD" w:rsidRPr="00376DB7" w:rsidRDefault="00137CCD" w:rsidP="00137CCD">
            <w:pPr>
              <w:rPr>
                <w:sz w:val="20"/>
              </w:rPr>
            </w:pPr>
            <w:r w:rsidRPr="00376DB7">
              <w:rPr>
                <w:rFonts w:ascii="Source Sans Pro" w:hAnsi="Source Sans Pro"/>
                <w:sz w:val="20"/>
              </w:rPr>
              <w:t>Investigate how some materials are better conductors of electricity than other</w:t>
            </w:r>
            <w:r w:rsidR="009754FC">
              <w:rPr>
                <w:rFonts w:ascii="Source Sans Pro" w:hAnsi="Source Sans Pro"/>
                <w:sz w:val="20"/>
              </w:rPr>
              <w:t>s</w:t>
            </w:r>
            <w:r w:rsidRPr="00376DB7">
              <w:rPr>
                <w:rFonts w:ascii="Source Sans Pro" w:hAnsi="Source Sans Pro"/>
                <w:sz w:val="20"/>
              </w:rPr>
              <w:t>.</w:t>
            </w:r>
          </w:p>
          <w:p w:rsidR="00137CCD" w:rsidRPr="00376DB7" w:rsidRDefault="00137CCD" w:rsidP="00137CCD">
            <w:pPr>
              <w:rPr>
                <w:sz w:val="20"/>
              </w:rPr>
            </w:pPr>
            <w:r w:rsidRPr="00376DB7">
              <w:rPr>
                <w:rFonts w:ascii="Source Sans Pro" w:hAnsi="Source Sans Pro"/>
                <w:sz w:val="20"/>
              </w:rPr>
              <w:t>Represent series circuits with drawings and conventional symbols.</w:t>
            </w:r>
          </w:p>
        </w:tc>
      </w:tr>
      <w:tr w:rsidR="00137CCD" w:rsidTr="005F5EDD">
        <w:trPr>
          <w:trHeight w:val="1032"/>
        </w:trPr>
        <w:tc>
          <w:tcPr>
            <w:tcW w:w="1615" w:type="dxa"/>
          </w:tcPr>
          <w:p w:rsidR="00137CCD" w:rsidRPr="00606EB2" w:rsidRDefault="00137CCD" w:rsidP="00137CCD">
            <w:pPr>
              <w:jc w:val="center"/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Writing</w:t>
            </w:r>
          </w:p>
        </w:tc>
        <w:tc>
          <w:tcPr>
            <w:tcW w:w="1530" w:type="dxa"/>
          </w:tcPr>
          <w:p w:rsidR="00137CCD" w:rsidRPr="00606EB2" w:rsidRDefault="00137CCD" w:rsidP="00137CCD">
            <w:pPr>
              <w:jc w:val="center"/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Tuesday</w:t>
            </w:r>
            <w:r>
              <w:rPr>
                <w:rFonts w:ascii="Source Sans Pro" w:hAnsi="Source Sans Pro"/>
                <w:sz w:val="20"/>
              </w:rPr>
              <w:t xml:space="preserve"> 23 May</w:t>
            </w:r>
          </w:p>
        </w:tc>
        <w:tc>
          <w:tcPr>
            <w:tcW w:w="6480" w:type="dxa"/>
          </w:tcPr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Plan writing by identifying clear audience and purpose as well as utilising similar writing as models.</w:t>
            </w:r>
          </w:p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Use a range of devices to build cohesion across paragraphs (pronouns, adverbials, etc.).</w:t>
            </w:r>
          </w:p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Carefully describe settings and characters, integrating dialogue to describe and narrate.</w:t>
            </w:r>
          </w:p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Select and use carefully selected ambitious description (adjectives, adverbs, prepositional, etc.).</w:t>
            </w:r>
          </w:p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Use carefully placed adverbials (time, place and number) to link ideas.</w:t>
            </w:r>
          </w:p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Use subordinate and relative clauses (who, which, where, etc.) within sentences to add precise detail.</w:t>
            </w:r>
          </w:p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Accurately indicate split speech using inverted commas.</w:t>
            </w:r>
          </w:p>
        </w:tc>
      </w:tr>
      <w:tr w:rsidR="00137CCD" w:rsidTr="005F5EDD">
        <w:trPr>
          <w:trHeight w:val="1086"/>
        </w:trPr>
        <w:tc>
          <w:tcPr>
            <w:tcW w:w="1615" w:type="dxa"/>
          </w:tcPr>
          <w:p w:rsidR="00137CCD" w:rsidRPr="00606EB2" w:rsidRDefault="00137CCD" w:rsidP="00137CCD">
            <w:pPr>
              <w:jc w:val="center"/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Numeracy</w:t>
            </w:r>
          </w:p>
        </w:tc>
        <w:tc>
          <w:tcPr>
            <w:tcW w:w="1530" w:type="dxa"/>
          </w:tcPr>
          <w:p w:rsidR="00137CCD" w:rsidRPr="00606EB2" w:rsidRDefault="00137CCD" w:rsidP="00137CCD">
            <w:pPr>
              <w:jc w:val="center"/>
              <w:rPr>
                <w:rFonts w:ascii="Source Sans Pro" w:hAnsi="Source Sans Pro"/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Tuesday</w:t>
            </w:r>
            <w:r>
              <w:rPr>
                <w:rFonts w:ascii="Source Sans Pro" w:hAnsi="Source Sans Pro"/>
                <w:sz w:val="20"/>
              </w:rPr>
              <w:t xml:space="preserve"> 23 May</w:t>
            </w:r>
          </w:p>
        </w:tc>
        <w:tc>
          <w:tcPr>
            <w:tcW w:w="6480" w:type="dxa"/>
          </w:tcPr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 xml:space="preserve">Round whole numbers to 10 000 000 to a required </w:t>
            </w:r>
            <w:r w:rsidR="009754FC">
              <w:rPr>
                <w:rFonts w:ascii="Source Sans Pro" w:hAnsi="Source Sans Pro"/>
                <w:sz w:val="20"/>
              </w:rPr>
              <w:t>degree of accuracy.</w:t>
            </w:r>
          </w:p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Solve multi-step addition and subtraction problems in less familiar contexts, deciding which operation</w:t>
            </w:r>
            <w:r w:rsidR="009754FC">
              <w:rPr>
                <w:rFonts w:ascii="Source Sans Pro" w:hAnsi="Source Sans Pro"/>
                <w:sz w:val="20"/>
              </w:rPr>
              <w:t xml:space="preserve">s and methods to use and why. </w:t>
            </w:r>
          </w:p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Divide numbers up to 4 digits by a two-digit whole number using the formal methods of short or long division, and interpret remainders as appropriate for the context as whole numbe</w:t>
            </w:r>
            <w:r w:rsidR="009754FC">
              <w:rPr>
                <w:rFonts w:ascii="Source Sans Pro" w:hAnsi="Source Sans Pro"/>
                <w:sz w:val="20"/>
              </w:rPr>
              <w:t>rs, fractions or by rounding.</w:t>
            </w:r>
          </w:p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Recall and use equivalences between simple fractions, decimals and percentages, including in different contexts</w:t>
            </w:r>
            <w:r w:rsidR="009754FC">
              <w:rPr>
                <w:rFonts w:ascii="Source Sans Pro" w:hAnsi="Source Sans Pro"/>
                <w:sz w:val="20"/>
              </w:rPr>
              <w:t>.</w:t>
            </w:r>
          </w:p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Solve problems which require decimal answers to be rounded to specified degrees of accuracy</w:t>
            </w:r>
            <w:r w:rsidR="009754FC">
              <w:rPr>
                <w:rFonts w:ascii="Source Sans Pro" w:hAnsi="Source Sans Pro"/>
                <w:sz w:val="20"/>
              </w:rPr>
              <w:t>.</w:t>
            </w:r>
          </w:p>
          <w:p w:rsidR="00137CCD" w:rsidRPr="00606EB2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Find unknown angles and lengths in triangles, quadrila</w:t>
            </w:r>
            <w:r w:rsidR="009754FC">
              <w:rPr>
                <w:rFonts w:ascii="Source Sans Pro" w:hAnsi="Source Sans Pro"/>
                <w:sz w:val="20"/>
              </w:rPr>
              <w:t>terals, and regular polygons.</w:t>
            </w:r>
          </w:p>
          <w:p w:rsidR="00137CCD" w:rsidRPr="00606EB2" w:rsidRDefault="009754FC" w:rsidP="00137CCD">
            <w:pPr>
              <w:rPr>
                <w:sz w:val="20"/>
              </w:rPr>
            </w:pPr>
            <w:r>
              <w:rPr>
                <w:rFonts w:ascii="Source Sans Pro" w:hAnsi="Source Sans Pro"/>
                <w:sz w:val="20"/>
              </w:rPr>
              <w:t>Interpret data in pie charts.</w:t>
            </w:r>
          </w:p>
          <w:p w:rsidR="00137CCD" w:rsidRPr="00376DB7" w:rsidRDefault="00137CCD" w:rsidP="00137CCD">
            <w:pPr>
              <w:rPr>
                <w:sz w:val="20"/>
              </w:rPr>
            </w:pPr>
            <w:r w:rsidRPr="00606EB2">
              <w:rPr>
                <w:rFonts w:ascii="Source Sans Pro" w:hAnsi="Source Sans Pro"/>
                <w:sz w:val="20"/>
              </w:rPr>
              <w:t>Solve problems involving the calculation of percentages and the use of pe</w:t>
            </w:r>
            <w:r w:rsidR="009754FC">
              <w:rPr>
                <w:rFonts w:ascii="Source Sans Pro" w:hAnsi="Source Sans Pro"/>
                <w:sz w:val="20"/>
              </w:rPr>
              <w:t>rcentages for comparison.</w:t>
            </w:r>
          </w:p>
        </w:tc>
      </w:tr>
    </w:tbl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5A481D">
      <w:pPr>
        <w:jc w:val="both"/>
        <w:rPr>
          <w:rFonts w:ascii="Source Sans Pro" w:hAnsi="Source Sans Pro"/>
        </w:rPr>
      </w:pPr>
      <w:r w:rsidRPr="008A6C85">
        <w:rPr>
          <w:rFonts w:ascii="Source Sans Pro" w:hAnsi="Source Sans Pro"/>
        </w:rPr>
        <w:t>Please support your child as much as possible i</w:t>
      </w:r>
      <w:r w:rsidR="00E1557D">
        <w:rPr>
          <w:rFonts w:ascii="Source Sans Pro" w:hAnsi="Source Sans Pro"/>
        </w:rPr>
        <w:t>n the run-</w:t>
      </w:r>
      <w:r>
        <w:rPr>
          <w:rFonts w:ascii="Source Sans Pro" w:hAnsi="Source Sans Pro"/>
        </w:rPr>
        <w:t>up to each assessment, by revising the content covered in each</w:t>
      </w:r>
      <w:r w:rsidR="005A481D">
        <w:rPr>
          <w:rFonts w:ascii="Source Sans Pro" w:hAnsi="Source Sans Pro"/>
        </w:rPr>
        <w:t xml:space="preserve"> subject</w:t>
      </w:r>
      <w:r>
        <w:rPr>
          <w:rFonts w:ascii="Source Sans Pro" w:hAnsi="Source Sans Pro"/>
        </w:rPr>
        <w:t>. Please also ensure your child is in school on time and for the duration of each day during assessment week.</w:t>
      </w:r>
      <w:r w:rsidR="00EA457B">
        <w:rPr>
          <w:rFonts w:ascii="Source Sans Pro" w:hAnsi="Source Sans Pro"/>
        </w:rPr>
        <w:t xml:space="preserve"> Please be advised that your child will continue to be assessed by his/her class teacher </w:t>
      </w:r>
      <w:r w:rsidR="00E1557D">
        <w:rPr>
          <w:rFonts w:ascii="Source Sans Pro" w:hAnsi="Source Sans Pro"/>
        </w:rPr>
        <w:t>in the lead-</w:t>
      </w:r>
      <w:r w:rsidR="00EA457B">
        <w:rPr>
          <w:rFonts w:ascii="Source Sans Pro" w:hAnsi="Source Sans Pro"/>
        </w:rPr>
        <w:t>up to the end</w:t>
      </w:r>
      <w:r w:rsidR="00490429">
        <w:rPr>
          <w:rFonts w:ascii="Source Sans Pro" w:hAnsi="Source Sans Pro"/>
        </w:rPr>
        <w:t xml:space="preserve">-of-year reports being written. </w:t>
      </w:r>
    </w:p>
    <w:p w:rsidR="00EA457B" w:rsidRDefault="00EA457B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Thank you for your continued support.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Yours faithfully</w:t>
      </w:r>
    </w:p>
    <w:p w:rsidR="001C79B0" w:rsidRDefault="001C79B0" w:rsidP="001C79B0">
      <w:pPr>
        <w:rPr>
          <w:rFonts w:ascii="Source Sans Pro" w:hAnsi="Source Sans Pro"/>
        </w:rPr>
      </w:pPr>
    </w:p>
    <w:p w:rsidR="003B4F20" w:rsidRDefault="00CF64FF" w:rsidP="001C79B0">
      <w:pPr>
        <w:rPr>
          <w:rFonts w:ascii="Source Sans Pro" w:hAnsi="Source Sans Pro"/>
        </w:rPr>
      </w:pPr>
      <w:bookmarkStart w:id="0" w:name="_GoBack"/>
      <w:r w:rsidRPr="00CF64FF">
        <w:rPr>
          <w:rFonts w:ascii="Source Sans Pro" w:hAnsi="Source Sans Pro"/>
        </w:rPr>
        <w:t>Year 6</w:t>
      </w:r>
      <w:r w:rsidR="001C79B0" w:rsidRPr="00CF64FF">
        <w:rPr>
          <w:rFonts w:ascii="Source Sans Pro" w:hAnsi="Source Sans Pro"/>
        </w:rPr>
        <w:t xml:space="preserve"> Team</w:t>
      </w:r>
      <w:bookmarkEnd w:id="0"/>
    </w:p>
    <w:sectPr w:rsidR="003B4F20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6E" w:rsidRDefault="0055556E" w:rsidP="00C85509">
      <w:r>
        <w:separator/>
      </w:r>
    </w:p>
  </w:endnote>
  <w:endnote w:type="continuationSeparator" w:id="0">
    <w:p w:rsidR="0055556E" w:rsidRDefault="0055556E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A94F7F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-65405</wp:posOffset>
              </wp:positionV>
              <wp:extent cx="2171700" cy="81915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F7F" w:rsidRPr="00A94F7F" w:rsidRDefault="00A94F7F" w:rsidP="00A94F7F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A94F7F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Nord Anglia International School Al </w:t>
                          </w:r>
                          <w:proofErr w:type="spellStart"/>
                          <w:r w:rsidRPr="00A94F7F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A94F7F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94F7F" w:rsidRPr="00A94F7F" w:rsidRDefault="00A94F7F" w:rsidP="00A94F7F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A94F7F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A94F7F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A94F7F" w:rsidRPr="00A94F7F" w:rsidRDefault="00A94F7F" w:rsidP="00A94F7F">
                          <w:r w:rsidRPr="00A94F7F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A94F7F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A94F7F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15pt;width:17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" filled="f" stroked="f">
              <v:textbox>
                <w:txbxContent>
                  <w:p w:rsidR="00A94F7F" w:rsidRPr="00A94F7F" w:rsidRDefault="00A94F7F" w:rsidP="00A94F7F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A94F7F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Nord Anglia International School Al </w:t>
                    </w:r>
                    <w:proofErr w:type="spellStart"/>
                    <w:r w:rsidRPr="00A94F7F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A94F7F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</w:p>
                  <w:p w:rsidR="00A94F7F" w:rsidRPr="00A94F7F" w:rsidRDefault="00A94F7F" w:rsidP="00A94F7F">
                    <w:pPr>
                      <w:tabs>
                        <w:tab w:val="center" w:pos="4320"/>
                        <w:tab w:val="right" w:pos="8640"/>
                      </w:tabs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A94F7F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A94F7F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A94F7F" w:rsidRPr="00A94F7F" w:rsidRDefault="00A94F7F" w:rsidP="00A94F7F">
                    <w:r w:rsidRPr="00A94F7F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A94F7F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A94F7F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A94F7F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A94F7F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6E" w:rsidRDefault="0055556E" w:rsidP="00C85509">
      <w:r>
        <w:separator/>
      </w:r>
    </w:p>
  </w:footnote>
  <w:footnote w:type="continuationSeparator" w:id="0">
    <w:p w:rsidR="0055556E" w:rsidRDefault="0055556E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137CCD"/>
    <w:rsid w:val="00184512"/>
    <w:rsid w:val="001C79B0"/>
    <w:rsid w:val="001E4949"/>
    <w:rsid w:val="00214B57"/>
    <w:rsid w:val="002838A8"/>
    <w:rsid w:val="00292719"/>
    <w:rsid w:val="002B55B3"/>
    <w:rsid w:val="002C54EB"/>
    <w:rsid w:val="002F187E"/>
    <w:rsid w:val="00376DB7"/>
    <w:rsid w:val="003B4F20"/>
    <w:rsid w:val="00482C3B"/>
    <w:rsid w:val="00490429"/>
    <w:rsid w:val="0055439A"/>
    <w:rsid w:val="0055556E"/>
    <w:rsid w:val="005A481D"/>
    <w:rsid w:val="005C72F8"/>
    <w:rsid w:val="005F5EDD"/>
    <w:rsid w:val="00606EB2"/>
    <w:rsid w:val="0065011A"/>
    <w:rsid w:val="006836FE"/>
    <w:rsid w:val="00723DC7"/>
    <w:rsid w:val="007A321D"/>
    <w:rsid w:val="007C1344"/>
    <w:rsid w:val="007E5B3E"/>
    <w:rsid w:val="008827C1"/>
    <w:rsid w:val="008F08CE"/>
    <w:rsid w:val="00974022"/>
    <w:rsid w:val="009754FC"/>
    <w:rsid w:val="009A7F53"/>
    <w:rsid w:val="00A04BAA"/>
    <w:rsid w:val="00A94A73"/>
    <w:rsid w:val="00A94F7F"/>
    <w:rsid w:val="00C34C50"/>
    <w:rsid w:val="00C84FA9"/>
    <w:rsid w:val="00C85509"/>
    <w:rsid w:val="00CE6F81"/>
    <w:rsid w:val="00CF64FF"/>
    <w:rsid w:val="00D56B93"/>
    <w:rsid w:val="00DA7568"/>
    <w:rsid w:val="00DC5D80"/>
    <w:rsid w:val="00E04D14"/>
    <w:rsid w:val="00E1557D"/>
    <w:rsid w:val="00E503DE"/>
    <w:rsid w:val="00E84AE6"/>
    <w:rsid w:val="00E86846"/>
    <w:rsid w:val="00EA457B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D724-D356-4F10-81C2-04001A92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2017-05-10T10:51:00Z</cp:lastPrinted>
  <dcterms:created xsi:type="dcterms:W3CDTF">2017-05-10T11:15:00Z</dcterms:created>
  <dcterms:modified xsi:type="dcterms:W3CDTF">2017-05-10T11:15:00Z</dcterms:modified>
</cp:coreProperties>
</file>